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D0A83"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bookmarkStart w:id="0" w:name="_Hlk51184985"/>
      <w:bookmarkStart w:id="6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文化和旅游部技术创新中心建设</w:t>
      </w:r>
      <w:bookmarkStart w:id="1" w:name="_Hlk89265916"/>
      <w:r>
        <w:rPr>
          <w:rFonts w:hint="eastAsia" w:ascii="方正小标宋简体" w:hAnsi="宋体" w:eastAsia="方正小标宋简体"/>
          <w:bCs/>
          <w:sz w:val="44"/>
          <w:szCs w:val="44"/>
        </w:rPr>
        <w:t>运行</w:t>
      </w:r>
      <w:bookmarkEnd w:id="1"/>
      <w:r>
        <w:rPr>
          <w:rFonts w:hint="eastAsia" w:ascii="方正小标宋简体" w:hAnsi="宋体" w:eastAsia="方正小标宋简体"/>
          <w:bCs/>
          <w:sz w:val="44"/>
          <w:szCs w:val="44"/>
        </w:rPr>
        <w:t>管理</w:t>
      </w:r>
      <w:r>
        <w:rPr>
          <w:rFonts w:hint="eastAsia" w:ascii="方正小标宋简体" w:hAnsi="宋体" w:eastAsia="方正小标宋简体"/>
          <w:bCs/>
          <w:sz w:val="44"/>
          <w:szCs w:val="44"/>
        </w:rPr>
        <w:br w:type="textWrapping"/>
      </w:r>
      <w:r>
        <w:rPr>
          <w:rFonts w:hint="eastAsia" w:ascii="方正小标宋简体" w:hAnsi="宋体" w:eastAsia="方正小标宋简体"/>
          <w:bCs/>
          <w:sz w:val="44"/>
          <w:szCs w:val="44"/>
        </w:rPr>
        <w:t>工作规则</w:t>
      </w:r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（试行）</w:t>
      </w:r>
      <w:bookmarkEnd w:id="6"/>
    </w:p>
    <w:p w14:paraId="39B8623A">
      <w:pPr>
        <w:adjustRightInd w:val="0"/>
        <w:snapToGrid w:val="0"/>
        <w:spacing w:line="560" w:lineRule="exact"/>
        <w:jc w:val="center"/>
        <w:rPr>
          <w:rFonts w:ascii="仿宋" w:hAnsi="仿宋" w:eastAsia="仿宋" w:cs="Times New Roman"/>
          <w:bCs/>
          <w:sz w:val="32"/>
          <w:szCs w:val="32"/>
        </w:rPr>
      </w:pPr>
    </w:p>
    <w:p w14:paraId="5F4C15B8"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第一章  总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黑体" w:hAnsi="黑体" w:eastAsia="黑体" w:cs="Times New Roman"/>
          <w:bCs/>
          <w:sz w:val="32"/>
          <w:szCs w:val="32"/>
        </w:rPr>
        <w:t>则</w:t>
      </w:r>
    </w:p>
    <w:p w14:paraId="6DBEA181">
      <w:pPr>
        <w:adjustRightInd w:val="0"/>
        <w:snapToGrid/>
        <w:spacing w:line="56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bidi="ar"/>
        </w:rPr>
        <w:t>为</w:t>
      </w:r>
      <w:r>
        <w:rPr>
          <w:rFonts w:hint="eastAsia" w:ascii="仿宋_GB2312" w:hAnsi="仿宋" w:eastAsia="仿宋_GB2312"/>
          <w:sz w:val="32"/>
          <w:szCs w:val="32"/>
        </w:rPr>
        <w:t>加快实施创新驱动发展战略，推动科技创新和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行</w:t>
      </w:r>
      <w:r>
        <w:rPr>
          <w:rFonts w:hint="eastAsia" w:ascii="仿宋_GB2312" w:hAnsi="仿宋" w:eastAsia="仿宋_GB2312"/>
          <w:sz w:val="32"/>
          <w:szCs w:val="32"/>
        </w:rPr>
        <w:t>业创新深度融合，助力发展新质生产力，加强创新资源优化配置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Cs/>
          <w:sz w:val="32"/>
          <w:szCs w:val="32"/>
        </w:rPr>
        <w:t>支撑文化和旅游行业高质量发展</w:t>
      </w:r>
      <w:r>
        <w:rPr>
          <w:rFonts w:hint="eastAsia" w:ascii="仿宋_GB2312" w:hAnsi="Calibri" w:eastAsia="仿宋_GB2312"/>
          <w:sz w:val="32"/>
          <w:szCs w:val="32"/>
        </w:rPr>
        <w:t>，</w:t>
      </w:r>
      <w:r>
        <w:rPr>
          <w:rFonts w:ascii="仿宋_GB2312" w:hAnsi="仿宋" w:eastAsia="仿宋_GB2312" w:cs="Times New Roman"/>
          <w:bCs/>
          <w:sz w:val="32"/>
          <w:szCs w:val="32"/>
        </w:rPr>
        <w:t>规范文化和旅游部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（以下简称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“</w:t>
      </w:r>
      <w:r>
        <w:rPr>
          <w:rFonts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”</w:t>
      </w:r>
      <w:r>
        <w:rPr>
          <w:rFonts w:ascii="仿宋_GB2312" w:hAnsi="仿宋" w:eastAsia="仿宋_GB2312" w:cs="Times New Roman"/>
          <w:bCs/>
          <w:sz w:val="32"/>
          <w:szCs w:val="32"/>
        </w:rPr>
        <w:t>）的建设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和运行</w:t>
      </w:r>
      <w:r>
        <w:rPr>
          <w:rFonts w:ascii="仿宋_GB2312" w:hAnsi="仿宋" w:eastAsia="仿宋_GB2312" w:cs="Times New Roman"/>
          <w:bCs/>
          <w:sz w:val="32"/>
          <w:szCs w:val="32"/>
        </w:rPr>
        <w:t>，制定本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规则</w:t>
      </w:r>
      <w:r>
        <w:rPr>
          <w:rFonts w:ascii="仿宋_GB2312" w:hAnsi="仿宋" w:eastAsia="仿宋_GB2312" w:cs="Times New Roman"/>
          <w:bCs/>
          <w:sz w:val="32"/>
          <w:szCs w:val="32"/>
        </w:rPr>
        <w:t>。</w:t>
      </w:r>
    </w:p>
    <w:p w14:paraId="0CBC3DB0">
      <w:pPr>
        <w:adjustRightInd w:val="0"/>
        <w:snapToGrid/>
        <w:spacing w:line="56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技术创新中心属于文化和旅游领域技术创新与成果转化类科技创新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平台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国家技术创新中心的培育基地，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定位于</w:t>
      </w:r>
      <w:r>
        <w:rPr>
          <w:rFonts w:hint="eastAsia" w:ascii="仿宋_GB2312" w:eastAsia="仿宋_GB2312"/>
          <w:bCs/>
          <w:sz w:val="32"/>
          <w:szCs w:val="32"/>
        </w:rPr>
        <w:t>促进基础研究成果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工程应用</w:t>
      </w:r>
      <w:r>
        <w:rPr>
          <w:rFonts w:hint="eastAsia" w:ascii="仿宋_GB2312" w:eastAsia="仿宋_GB2312"/>
          <w:bCs/>
          <w:sz w:val="32"/>
          <w:szCs w:val="32"/>
        </w:rPr>
        <w:t>，实现从科技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到产业</w:t>
      </w:r>
      <w:r>
        <w:rPr>
          <w:rFonts w:hint="eastAsia" w:ascii="仿宋_GB2312" w:eastAsia="仿宋_GB2312"/>
          <w:bCs/>
          <w:sz w:val="32"/>
          <w:szCs w:val="32"/>
        </w:rPr>
        <w:t>的转化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。</w:t>
      </w:r>
    </w:p>
    <w:p w14:paraId="23E59C5D">
      <w:pPr>
        <w:adjustRightInd w:val="0"/>
        <w:snapToGrid/>
        <w:spacing w:line="56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技术创新中心的主要任务</w:t>
      </w:r>
      <w:r>
        <w:rPr>
          <w:rFonts w:ascii="仿宋_GB2312" w:hAnsi="仿宋" w:eastAsia="仿宋_GB2312" w:cs="Times New Roman"/>
          <w:bCs/>
          <w:sz w:val="32"/>
          <w:szCs w:val="32"/>
        </w:rPr>
        <w:t>是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落实文化和旅游科技创新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部署，</w:t>
      </w:r>
      <w:r>
        <w:rPr>
          <w:rFonts w:hint="eastAsia" w:ascii="仿宋_GB2312" w:eastAsia="仿宋_GB2312"/>
          <w:bCs/>
          <w:sz w:val="32"/>
          <w:szCs w:val="32"/>
        </w:rPr>
        <w:t>以关键技术研发为核心，为产业发展提供源头技术供给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，为各类企业提供技术创新与成果转化服务，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促进</w:t>
      </w:r>
      <w:r>
        <w:rPr>
          <w:rFonts w:hint="eastAsia" w:ascii="仿宋_GB2312" w:eastAsia="仿宋_GB2312"/>
          <w:bCs/>
          <w:sz w:val="32"/>
          <w:szCs w:val="32"/>
        </w:rPr>
        <w:t>产学研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用</w:t>
      </w:r>
      <w:r>
        <w:rPr>
          <w:rFonts w:hint="eastAsia" w:ascii="仿宋_GB2312" w:eastAsia="仿宋_GB2312"/>
          <w:bCs/>
          <w:sz w:val="32"/>
          <w:szCs w:val="32"/>
        </w:rPr>
        <w:t>协同，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提升文化和旅游领域创新能力与核心竞争力。</w:t>
      </w:r>
    </w:p>
    <w:p w14:paraId="49D5BE86">
      <w:pPr>
        <w:adjustRightInd w:val="0"/>
        <w:snapToGrid/>
        <w:spacing w:line="56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第四条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hint="eastAsia" w:ascii="仿宋_GB2312" w:eastAsia="仿宋_GB2312"/>
          <w:bCs/>
          <w:sz w:val="32"/>
          <w:szCs w:val="32"/>
        </w:rPr>
        <w:t>的建设遵循聚焦关键、分类指导、开放共享、协同创新的原则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，实行科研与市场协同衔接的运行机制，探索不同类型的组建模式，明晰企业、高校、科研院所和政府等主体的权责。</w:t>
      </w:r>
    </w:p>
    <w:p w14:paraId="670B0192">
      <w:pPr>
        <w:adjustRightInd w:val="0"/>
        <w:snapToGrid/>
        <w:spacing w:line="560" w:lineRule="exact"/>
        <w:ind w:firstLine="640" w:firstLineChars="200"/>
        <w:rPr>
          <w:rFonts w:hint="eastAsia" w:ascii="仿宋_GB2312" w:hAnsi="Arial" w:eastAsia="仿宋_GB2312" w:cs="Arial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第五条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bCs/>
          <w:sz w:val="32"/>
          <w:szCs w:val="32"/>
          <w:shd w:val="clear" w:color="auto" w:fill="FFFFFF"/>
        </w:rPr>
        <w:t>文化和旅游部组织协调相关资源支持技术创新中心发展，优先选择具备条件的技术创新中心承担相关科研任务，参与国家和行业标准制定及决策支撑等工作。对运行良好、成绩显著、效能突出的技术创新中心，优先</w:t>
      </w:r>
      <w:r>
        <w:rPr>
          <w:rFonts w:hint="eastAsia" w:ascii="仿宋_GB2312" w:hAnsi="Arial" w:eastAsia="仿宋_GB2312" w:cs="Arial"/>
          <w:bCs/>
          <w:sz w:val="32"/>
          <w:szCs w:val="32"/>
          <w:shd w:val="clear" w:color="auto" w:fill="FFFFFF"/>
          <w:lang w:eastAsia="zh-CN"/>
        </w:rPr>
        <w:t>参与文化和旅游领域</w:t>
      </w:r>
      <w:r>
        <w:rPr>
          <w:rFonts w:hint="eastAsia" w:ascii="仿宋_GB2312" w:hAnsi="Arial" w:eastAsia="仿宋_GB2312" w:cs="Arial"/>
          <w:bCs/>
          <w:sz w:val="32"/>
          <w:szCs w:val="32"/>
          <w:shd w:val="clear" w:color="auto" w:fill="FFFFFF"/>
        </w:rPr>
        <w:t>国家技术创新中心</w:t>
      </w:r>
      <w:r>
        <w:rPr>
          <w:rFonts w:hint="eastAsia" w:ascii="仿宋_GB2312" w:hAnsi="Arial" w:eastAsia="仿宋_GB2312" w:cs="Arial"/>
          <w:bCs/>
          <w:sz w:val="32"/>
          <w:szCs w:val="32"/>
          <w:shd w:val="clear" w:color="auto" w:fill="FFFFFF"/>
          <w:lang w:eastAsia="zh-CN"/>
        </w:rPr>
        <w:t>组建相关工作，推荐申报</w:t>
      </w:r>
      <w:r>
        <w:rPr>
          <w:rFonts w:hint="eastAsia" w:ascii="仿宋_GB2312" w:hAnsi="Arial" w:eastAsia="仿宋_GB2312" w:cs="Arial"/>
          <w:bCs/>
          <w:sz w:val="32"/>
          <w:szCs w:val="32"/>
          <w:shd w:val="clear" w:color="auto" w:fill="FFFFFF"/>
        </w:rPr>
        <w:t>国家科技计划项目、有关产业支持项目和人才计划等。</w:t>
      </w:r>
    </w:p>
    <w:p w14:paraId="6D4408A0">
      <w:pPr>
        <w:adjustRightInd w:val="0"/>
        <w:snapToGrid/>
        <w:spacing w:line="560" w:lineRule="exact"/>
        <w:ind w:firstLine="640" w:firstLineChars="200"/>
        <w:rPr>
          <w:rFonts w:hint="eastAsia" w:ascii="仿宋_GB2312" w:hAnsi="Arial" w:eastAsia="仿宋_GB2312" w:cs="Arial"/>
          <w:bCs/>
          <w:sz w:val="32"/>
          <w:szCs w:val="32"/>
          <w:shd w:val="clear" w:color="auto" w:fill="FFFFFF"/>
        </w:rPr>
      </w:pPr>
    </w:p>
    <w:p w14:paraId="54DA604B"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第二章  管理职责</w:t>
      </w:r>
    </w:p>
    <w:p w14:paraId="7D3557E7">
      <w:pPr>
        <w:adjustRightInd w:val="0"/>
        <w:snapToGrid/>
        <w:spacing w:line="56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第六条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文化和旅游部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组织推进技术创新中心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的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建设运行</w:t>
      </w:r>
      <w:r>
        <w:rPr>
          <w:rFonts w:ascii="仿宋_GB2312" w:hAnsi="仿宋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文化和旅游部科技主管部门负责归口管理，</w:t>
      </w:r>
      <w:r>
        <w:rPr>
          <w:rFonts w:ascii="仿宋_GB2312" w:hAnsi="仿宋" w:eastAsia="仿宋_GB2312" w:cs="Times New Roman"/>
          <w:bCs/>
          <w:sz w:val="32"/>
          <w:szCs w:val="32"/>
        </w:rPr>
        <w:t>主要职责是：</w:t>
      </w:r>
    </w:p>
    <w:p w14:paraId="1E2B9BB0">
      <w:pPr>
        <w:pStyle w:val="5"/>
        <w:numPr>
          <w:ilvl w:val="0"/>
          <w:numId w:val="1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制定技术创新中心建设的总体规划和管理制度，提出对技术创新中心的支持政策与措施。</w:t>
      </w:r>
    </w:p>
    <w:p w14:paraId="1B974ED5">
      <w:pPr>
        <w:pStyle w:val="5"/>
        <w:numPr>
          <w:ilvl w:val="0"/>
          <w:numId w:val="1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指导技术创新中心的建设和运行，组织开展技术创新中心的验收、评估和检查等工作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，核准技术创新中心重大事项变更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。</w:t>
      </w:r>
    </w:p>
    <w:p w14:paraId="33EC4B1E">
      <w:pPr>
        <w:pStyle w:val="5"/>
        <w:numPr>
          <w:ilvl w:val="0"/>
          <w:numId w:val="1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统筹解决技术创新中心建设与发展中的重大问题。</w:t>
      </w:r>
    </w:p>
    <w:p w14:paraId="1A106930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" w:eastAsia="zh-CN" w:bidi="ar"/>
        </w:rPr>
        <w:t>省、自治区、直辖市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文化和旅游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厅（局），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" w:eastAsia="zh-CN" w:bidi="ar"/>
        </w:rPr>
        <w:t>新疆生产建设兵团文化体育广电和旅游局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（下称“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省级文化和旅游行政部门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”）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负责本地区技术创新中心的</w:t>
      </w:r>
      <w:r>
        <w:rPr>
          <w:rFonts w:hint="eastAsia" w:ascii="仿宋_GB2312" w:hAnsi="仿宋" w:eastAsia="仿宋_GB2312" w:cs="Times New Roman"/>
          <w:bCs/>
          <w:sz w:val="32"/>
          <w:szCs w:val="32"/>
          <w:highlight w:val="none"/>
          <w:lang w:eastAsia="zh-CN"/>
        </w:rPr>
        <w:t>属地管理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，主要职责是：</w:t>
      </w:r>
    </w:p>
    <w:p w14:paraId="30841F51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（一）组织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技术创新中心申报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与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推荐，对技术创新中心的建设和运行进行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日常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监督管理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。</w:t>
      </w:r>
    </w:p>
    <w:p w14:paraId="4E575171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协助组织技术创新中心的验收、</w:t>
      </w:r>
      <w:r>
        <w:rPr>
          <w:rFonts w:ascii="仿宋_GB2312" w:hAnsi="仿宋" w:eastAsia="仿宋_GB2312" w:cs="Times New Roman"/>
          <w:bCs/>
          <w:sz w:val="32"/>
          <w:szCs w:val="32"/>
        </w:rPr>
        <w:t>评估和检查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审查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技术创新中心的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重大事项变更。</w:t>
      </w:r>
    </w:p>
    <w:p w14:paraId="0D837245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将技术创新中心的发展纳入本部门的发展规划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，协调内外资源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支持技术创新中心建设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运行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。</w:t>
      </w:r>
    </w:p>
    <w:p w14:paraId="1DD1DD29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建设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运行依托</w:t>
      </w:r>
      <w:r>
        <w:rPr>
          <w:rFonts w:ascii="仿宋_GB2312" w:hAnsi="仿宋" w:eastAsia="仿宋_GB2312" w:cs="Times New Roman"/>
          <w:bCs/>
          <w:sz w:val="32"/>
          <w:szCs w:val="32"/>
        </w:rPr>
        <w:t>单位（以下简称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“</w:t>
      </w:r>
      <w:r>
        <w:rPr>
          <w:rFonts w:ascii="仿宋_GB2312" w:hAnsi="仿宋" w:eastAsia="仿宋_GB2312" w:cs="Times New Roman"/>
          <w:bCs/>
          <w:sz w:val="32"/>
          <w:szCs w:val="32"/>
        </w:rPr>
        <w:t>依托单位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”</w:t>
      </w:r>
      <w:r>
        <w:rPr>
          <w:rFonts w:ascii="仿宋_GB2312" w:hAnsi="仿宋" w:eastAsia="仿宋_GB2312" w:cs="Times New Roman"/>
          <w:bCs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的</w:t>
      </w:r>
      <w:r>
        <w:rPr>
          <w:rFonts w:ascii="仿宋_GB2312" w:hAnsi="仿宋" w:eastAsia="仿宋_GB2312" w:cs="Times New Roman"/>
          <w:bCs/>
          <w:sz w:val="32"/>
          <w:szCs w:val="32"/>
        </w:rPr>
        <w:t>主要职责是：</w:t>
      </w:r>
    </w:p>
    <w:p w14:paraId="60B59BA5">
      <w:pPr>
        <w:pStyle w:val="5"/>
        <w:numPr>
          <w:ilvl w:val="0"/>
          <w:numId w:val="2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确定技术创新中心发展目标、任务和研究重点，建立健全工作机制，制定章程和内部管理制度。</w:t>
      </w:r>
    </w:p>
    <w:p w14:paraId="7B75A02B">
      <w:pPr>
        <w:pStyle w:val="5"/>
        <w:numPr>
          <w:ilvl w:val="0"/>
          <w:numId w:val="2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负责技术创新中心的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建设、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运行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管理，提供相应的机制、人员、资金、场地、设施、技术等方面支持保障，协调解决运行中的有关问题。</w:t>
      </w:r>
    </w:p>
    <w:p w14:paraId="5A045387">
      <w:pPr>
        <w:pStyle w:val="5"/>
        <w:numPr>
          <w:ilvl w:val="0"/>
          <w:numId w:val="2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聘任技术创新中心主任、副主任，组建专家委员会，聘任专家委员会主任委员、副主任委员和委员。</w:t>
      </w:r>
    </w:p>
    <w:p w14:paraId="68F097C7">
      <w:pPr>
        <w:pStyle w:val="5"/>
        <w:numPr>
          <w:ilvl w:val="0"/>
          <w:numId w:val="2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对技术创新中心进行年度考核，配合有关部门做好验收、评估和检查等工作。</w:t>
      </w:r>
    </w:p>
    <w:p w14:paraId="2AFF15C1">
      <w:pPr>
        <w:pStyle w:val="5"/>
        <w:numPr>
          <w:ilvl w:val="0"/>
          <w:numId w:val="0"/>
        </w:numPr>
        <w:adjustRightInd w:val="0"/>
        <w:snapToGrid w:val="0"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第九条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的主要职责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是</w:t>
      </w:r>
      <w:r>
        <w:rPr>
          <w:rFonts w:ascii="仿宋_GB2312" w:hAnsi="仿宋" w:eastAsia="仿宋_GB2312" w:cs="Times New Roman"/>
          <w:bCs/>
          <w:sz w:val="32"/>
          <w:szCs w:val="32"/>
        </w:rPr>
        <w:t>：</w:t>
      </w:r>
    </w:p>
    <w:p w14:paraId="7071274E">
      <w:pPr>
        <w:pStyle w:val="5"/>
        <w:numPr>
          <w:ilvl w:val="0"/>
          <w:numId w:val="3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根据文化和旅游行业需要，开展本领域应用研究和成果转化方面的</w:t>
      </w:r>
      <w:bookmarkStart w:id="2" w:name="OLE_LINK2"/>
      <w:bookmarkStart w:id="3" w:name="OLE_LINK3"/>
      <w:r>
        <w:rPr>
          <w:rFonts w:hint="eastAsia" w:ascii="仿宋_GB2312" w:hAnsi="仿宋" w:eastAsia="仿宋_GB2312" w:cs="Times New Roman"/>
          <w:bCs/>
          <w:sz w:val="32"/>
          <w:szCs w:val="32"/>
        </w:rPr>
        <w:t>关键共性技术攻关</w:t>
      </w:r>
      <w:bookmarkEnd w:id="2"/>
      <w:bookmarkEnd w:id="3"/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实现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科研成果系统化、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产业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化和工程化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应用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。</w:t>
      </w:r>
    </w:p>
    <w:p w14:paraId="7BE58D7B">
      <w:pPr>
        <w:pStyle w:val="5"/>
        <w:numPr>
          <w:ilvl w:val="0"/>
          <w:numId w:val="3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开展市场化技术创新服务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ascii="仿宋_GB2312" w:hAnsi="仿宋" w:eastAsia="仿宋_GB2312" w:cs="Times New Roman"/>
          <w:bCs/>
          <w:sz w:val="32"/>
          <w:szCs w:val="32"/>
        </w:rPr>
        <w:t>为企业提供</w:t>
      </w:r>
      <w:r>
        <w:rPr>
          <w:rFonts w:hint="eastAsia" w:ascii="仿宋_GB2312" w:hAnsi="仿宋" w:eastAsia="仿宋_GB2312" w:cs="Times New Roman"/>
          <w:bCs/>
          <w:sz w:val="32"/>
          <w:szCs w:val="32"/>
          <w:highlight w:val="none"/>
        </w:rPr>
        <w:t>按需定制的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技术解决方案。</w:t>
      </w:r>
    </w:p>
    <w:p w14:paraId="59814019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参与国家标准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行业标准和国际标准的研究制定。</w:t>
      </w:r>
    </w:p>
    <w:p w14:paraId="6EEC9D06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构建科学合理的科技创新人才队伍，吸引集聚专业化、国际化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高层次创新人才，充分调动各类人员的积极性。</w:t>
      </w:r>
    </w:p>
    <w:p w14:paraId="74CB5608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筹措建设运行经费，按规定管理和使用经费。</w:t>
      </w:r>
    </w:p>
    <w:p w14:paraId="29E483AC">
      <w:pPr>
        <w:pStyle w:val="5"/>
        <w:numPr>
          <w:ilvl w:val="0"/>
          <w:numId w:val="3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加强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与</w:t>
      </w:r>
      <w:r>
        <w:rPr>
          <w:rFonts w:ascii="仿宋_GB2312" w:hAnsi="仿宋" w:eastAsia="仿宋_GB2312" w:cs="Times New Roman"/>
          <w:bCs/>
          <w:sz w:val="32"/>
          <w:szCs w:val="32"/>
        </w:rPr>
        <w:t>其他类型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科技创新</w:t>
      </w:r>
      <w:r>
        <w:rPr>
          <w:rFonts w:ascii="仿宋_GB2312" w:hAnsi="仿宋" w:eastAsia="仿宋_GB2312" w:cs="Times New Roman"/>
          <w:bCs/>
          <w:sz w:val="32"/>
          <w:szCs w:val="32"/>
        </w:rPr>
        <w:t>基地的协同联动，开展国内外科技合作与交流。</w:t>
      </w:r>
    </w:p>
    <w:p w14:paraId="18EFB680">
      <w:pPr>
        <w:pStyle w:val="5"/>
        <w:numPr>
          <w:ilvl w:val="0"/>
          <w:numId w:val="3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按要求进行重大事项报告或报批，完成年度报告，配合开展评估工作。</w:t>
      </w:r>
    </w:p>
    <w:p w14:paraId="2B4F9F2C"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</w:p>
    <w:p w14:paraId="35908DB7"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第三章  申</w:t>
      </w:r>
      <w:r>
        <w:rPr>
          <w:rFonts w:hint="eastAsia" w:ascii="黑体" w:hAnsi="黑体" w:eastAsia="黑体" w:cs="Times New Roman"/>
          <w:bCs/>
          <w:sz w:val="32"/>
          <w:szCs w:val="32"/>
        </w:rPr>
        <w:t>报</w:t>
      </w:r>
      <w:r>
        <w:rPr>
          <w:rFonts w:ascii="黑体" w:hAnsi="黑体" w:eastAsia="黑体" w:cs="Times New Roman"/>
          <w:bCs/>
          <w:sz w:val="32"/>
          <w:szCs w:val="32"/>
        </w:rPr>
        <w:t>与</w:t>
      </w:r>
      <w:r>
        <w:rPr>
          <w:rFonts w:hint="eastAsia" w:ascii="黑体" w:hAnsi="黑体" w:eastAsia="黑体" w:cs="Times New Roman"/>
          <w:bCs/>
          <w:sz w:val="32"/>
          <w:szCs w:val="32"/>
        </w:rPr>
        <w:t>建设</w:t>
      </w:r>
    </w:p>
    <w:p w14:paraId="753CB775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申报技术创新中心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应具备的基本条件：</w:t>
      </w:r>
    </w:p>
    <w:p w14:paraId="2C5ED8F9">
      <w:pPr>
        <w:pStyle w:val="5"/>
        <w:numPr>
          <w:ilvl w:val="0"/>
          <w:numId w:val="4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依托单位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为</w:t>
      </w:r>
      <w:r>
        <w:rPr>
          <w:rFonts w:ascii="仿宋_GB2312" w:hAnsi="仿宋" w:eastAsia="仿宋_GB2312" w:cs="Times New Roman"/>
          <w:bCs/>
          <w:sz w:val="32"/>
          <w:szCs w:val="32"/>
        </w:rPr>
        <w:t>中国大陆境内注册5年以上、具有独立法人资格的企业、高校、科研院所或具有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</w:t>
      </w:r>
      <w:r>
        <w:rPr>
          <w:rFonts w:ascii="仿宋_GB2312" w:hAnsi="仿宋" w:eastAsia="仿宋_GB2312" w:cs="Times New Roman"/>
          <w:bCs/>
          <w:sz w:val="32"/>
          <w:szCs w:val="32"/>
        </w:rPr>
        <w:t>创新能力的其他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单位。</w:t>
      </w:r>
    </w:p>
    <w:p w14:paraId="5B82D8DE">
      <w:pPr>
        <w:pStyle w:val="5"/>
        <w:numPr>
          <w:ilvl w:val="0"/>
          <w:numId w:val="4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依托单位在本领域技术创新方面优势明显，拥有坚实的关键共性技术研究基础，较强的应用示范、技术服务、成果转移转化能力，丰富的科技成果转化经验和成功案例，在行业内影响力大的高水平技术带头人，以及人员结构配置合理、研发能力强的技术团队。</w:t>
      </w:r>
    </w:p>
    <w:p w14:paraId="4D0E6A4D">
      <w:pPr>
        <w:pStyle w:val="5"/>
        <w:numPr>
          <w:ilvl w:val="0"/>
          <w:numId w:val="4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依托单位</w:t>
      </w:r>
      <w:r>
        <w:rPr>
          <w:rFonts w:ascii="仿宋_GB2312" w:hAnsi="仿宋" w:eastAsia="仿宋_GB2312" w:cs="Times New Roman"/>
          <w:bCs/>
          <w:sz w:val="32"/>
          <w:szCs w:val="32"/>
        </w:rPr>
        <w:t>管理制度健全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、运行机制合理，具备较强的经济实力、优良的科研资产及</w:t>
      </w:r>
      <w:r>
        <w:rPr>
          <w:rFonts w:ascii="仿宋_GB2312" w:hAnsi="仿宋" w:eastAsia="仿宋_GB2312" w:cs="Times New Roman"/>
          <w:bCs/>
          <w:sz w:val="32"/>
          <w:szCs w:val="32"/>
        </w:rPr>
        <w:t>筹措资金的信誉和能力，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近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年无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连续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亏损，无重大法律纠纷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和负面舆情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ascii="仿宋_GB2312" w:hAnsi="仿宋" w:eastAsia="仿宋_GB2312" w:cs="Times New Roman"/>
          <w:bCs/>
          <w:sz w:val="32"/>
          <w:szCs w:val="32"/>
        </w:rPr>
        <w:t>能为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技术创新中心建设和运行提供必要的资金、良好的研发条件和产业化装备、基地等保障条件。</w:t>
      </w:r>
    </w:p>
    <w:p w14:paraId="1C7304AF">
      <w:pPr>
        <w:pStyle w:val="5"/>
        <w:numPr>
          <w:ilvl w:val="0"/>
          <w:numId w:val="4"/>
        </w:numPr>
        <w:adjustRightInd w:val="0"/>
        <w:snapToGrid/>
        <w:spacing w:line="560" w:lineRule="exact"/>
        <w:ind w:left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技术创新中心建设符合</w:t>
      </w:r>
      <w:r>
        <w:rPr>
          <w:rFonts w:hint="eastAsia" w:ascii="仿宋_GB2312" w:hAnsi="仿宋" w:eastAsia="仿宋_GB2312" w:cs="Times New Roman"/>
          <w:sz w:val="32"/>
          <w:szCs w:val="32"/>
        </w:rPr>
        <w:t>国家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文化和旅游发展战略及科技创新工作总体布局，</w:t>
      </w:r>
      <w:r>
        <w:rPr>
          <w:rFonts w:hint="eastAsia" w:ascii="仿宋_GB2312" w:hAnsi="仿宋" w:eastAsia="仿宋_GB2312" w:cs="Times New Roman"/>
          <w:sz w:val="32"/>
          <w:szCs w:val="32"/>
        </w:rPr>
        <w:t>聚焦关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键技术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创新，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适应行业发展趋势和市场化需求，在依托单位组织下建设“产学研用”相结合协同合作的技术创新平台。</w:t>
      </w:r>
    </w:p>
    <w:p w14:paraId="557D7B1D">
      <w:pPr>
        <w:pStyle w:val="5"/>
        <w:numPr>
          <w:ilvl w:val="0"/>
          <w:numId w:val="4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围绕产业链梳理“长板”技术和“卡脖子”技术，凝练提出明确的技术创新目标和攻关任务，突出需要解决的产业化中的重大关键技术问题，细化建设任务的短期和中长期目标。</w:t>
      </w:r>
    </w:p>
    <w:p w14:paraId="66CF6D0D">
      <w:pPr>
        <w:pStyle w:val="5"/>
        <w:numPr>
          <w:ilvl w:val="0"/>
          <w:numId w:val="0"/>
        </w:numPr>
        <w:adjustRightInd w:val="0"/>
        <w:snapToGrid w:val="0"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第十一条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技术创新中心认定程序：</w:t>
      </w:r>
    </w:p>
    <w:p w14:paraId="2303E60A">
      <w:pPr>
        <w:pStyle w:val="5"/>
        <w:numPr>
          <w:ilvl w:val="2"/>
          <w:numId w:val="5"/>
        </w:numPr>
        <w:tabs>
          <w:tab w:val="left" w:pos="1560"/>
        </w:tabs>
        <w:adjustRightInd w:val="0"/>
        <w:snapToGrid w:val="0"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申报：</w:t>
      </w:r>
      <w:r>
        <w:rPr>
          <w:rFonts w:ascii="仿宋_GB2312" w:hAnsi="仿宋" w:eastAsia="仿宋_GB2312" w:cs="Times New Roman"/>
          <w:bCs/>
          <w:sz w:val="32"/>
          <w:szCs w:val="32"/>
        </w:rPr>
        <w:t>具备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申报技术创新中心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基本条件和要求的依托单位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ascii="仿宋_GB2312" w:hAnsi="仿宋" w:eastAsia="仿宋_GB2312" w:cs="Times New Roman"/>
          <w:bCs/>
          <w:sz w:val="32"/>
          <w:szCs w:val="32"/>
        </w:rPr>
        <w:t>可提出申请并填写《文化和旅游部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申报书》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（以下简称《申报书》）</w:t>
      </w:r>
      <w:r>
        <w:rPr>
          <w:rFonts w:ascii="仿宋_GB2312" w:hAnsi="仿宋" w:eastAsia="仿宋_GB2312" w:cs="Times New Roman"/>
          <w:bCs/>
          <w:sz w:val="32"/>
          <w:szCs w:val="32"/>
        </w:rPr>
        <w:t>，</w:t>
      </w:r>
      <w:bookmarkStart w:id="4" w:name="OLE_LINK1"/>
      <w:r>
        <w:rPr>
          <w:rFonts w:hint="eastAsia" w:ascii="仿宋_GB2312" w:hAnsi="仿宋" w:eastAsia="仿宋_GB2312" w:cs="Times New Roman"/>
          <w:bCs/>
          <w:sz w:val="32"/>
          <w:szCs w:val="32"/>
        </w:rPr>
        <w:t>经省级文化和旅游行政部门推荐</w:t>
      </w:r>
      <w:r>
        <w:rPr>
          <w:rFonts w:ascii="仿宋_GB2312" w:hAnsi="仿宋" w:eastAsia="仿宋_GB2312" w:cs="Times New Roman"/>
          <w:bCs/>
          <w:sz w:val="32"/>
          <w:szCs w:val="32"/>
        </w:rPr>
        <w:t>向文化和旅游部申报</w:t>
      </w:r>
      <w:bookmarkEnd w:id="4"/>
      <w:r>
        <w:rPr>
          <w:rFonts w:ascii="仿宋_GB2312" w:hAnsi="仿宋" w:eastAsia="仿宋_GB2312" w:cs="Times New Roman"/>
          <w:bCs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文化和旅游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部机关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司局可推荐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其业务领域直接相关的创新中心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" w:eastAsia="zh-CN"/>
        </w:rPr>
        <w:t>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符合条件的部直属单位可直接申报。</w:t>
      </w:r>
    </w:p>
    <w:p w14:paraId="08A083C2">
      <w:pPr>
        <w:pStyle w:val="5"/>
        <w:numPr>
          <w:ilvl w:val="2"/>
          <w:numId w:val="5"/>
        </w:numPr>
        <w:tabs>
          <w:tab w:val="left" w:pos="1560"/>
        </w:tabs>
        <w:adjustRightInd w:val="0"/>
        <w:snapToGrid w:val="0"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审查并确定名单：</w:t>
      </w:r>
      <w:r>
        <w:rPr>
          <w:rFonts w:ascii="仿宋_GB2312" w:hAnsi="仿宋" w:eastAsia="仿宋_GB2312" w:cs="Times New Roman"/>
          <w:bCs/>
          <w:sz w:val="32"/>
          <w:szCs w:val="32"/>
        </w:rPr>
        <w:t>文化和旅游部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对申报单位进行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审查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，分为合法性审查、材料评审、现场实勘和综合</w:t>
      </w:r>
      <w:r>
        <w:rPr>
          <w:rFonts w:hint="eastAsia" w:ascii="仿宋_GB2312" w:hAnsi="仿宋" w:eastAsia="仿宋_GB2312" w:cs="Times New Roman"/>
          <w:bCs/>
          <w:sz w:val="32"/>
          <w:szCs w:val="32"/>
          <w:highlight w:val="none"/>
        </w:rPr>
        <w:t>论证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4</w:t>
      </w:r>
      <w:r>
        <w:rPr>
          <w:rFonts w:ascii="仿宋_GB2312" w:hAnsi="仿宋" w:eastAsia="仿宋_GB2312" w:cs="Times New Roman"/>
          <w:bCs/>
          <w:sz w:val="32"/>
          <w:szCs w:val="32"/>
        </w:rPr>
        <w:t>个阶段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。审查内容包括技术</w:t>
      </w:r>
      <w:r>
        <w:rPr>
          <w:rFonts w:ascii="仿宋_GB2312" w:hAnsi="仿宋" w:eastAsia="仿宋_GB2312" w:cs="Times New Roman"/>
          <w:bCs/>
          <w:sz w:val="32"/>
          <w:szCs w:val="32"/>
        </w:rPr>
        <w:t>创新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中心</w:t>
      </w:r>
      <w:r>
        <w:rPr>
          <w:rFonts w:ascii="仿宋_GB2312" w:hAnsi="仿宋" w:eastAsia="仿宋_GB2312" w:cs="Times New Roman"/>
          <w:bCs/>
          <w:sz w:val="32"/>
          <w:szCs w:val="32"/>
        </w:rPr>
        <w:t>的功能定位、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协同创新机制、技术创新能力</w:t>
      </w:r>
      <w:r>
        <w:rPr>
          <w:rFonts w:ascii="仿宋_GB2312" w:hAnsi="仿宋" w:eastAsia="仿宋_GB2312" w:cs="Times New Roman"/>
          <w:bCs/>
          <w:sz w:val="32"/>
          <w:szCs w:val="32"/>
        </w:rPr>
        <w:t>、保障条件等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。</w:t>
      </w:r>
    </w:p>
    <w:p w14:paraId="39A3B832">
      <w:pPr>
        <w:pStyle w:val="5"/>
        <w:numPr>
          <w:ilvl w:val="0"/>
          <w:numId w:val="0"/>
        </w:numPr>
        <w:tabs>
          <w:tab w:val="left" w:pos="156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文化和旅游部</w:t>
      </w:r>
      <w:r>
        <w:rPr>
          <w:rFonts w:ascii="仿宋_GB2312" w:hAnsi="仿宋" w:eastAsia="仿宋_GB2312" w:cs="Times New Roman"/>
          <w:bCs/>
          <w:sz w:val="32"/>
          <w:szCs w:val="32"/>
        </w:rPr>
        <w:t>依据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审查结果</w:t>
      </w:r>
      <w:r>
        <w:rPr>
          <w:rFonts w:ascii="仿宋_GB2312" w:hAnsi="仿宋" w:eastAsia="仿宋_GB2312" w:cs="Times New Roman"/>
          <w:bCs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按照择优、择重、择需的原则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，经公示后确定开展技术创新中心建设的名单。</w:t>
      </w:r>
    </w:p>
    <w:p w14:paraId="15AADF78">
      <w:pPr>
        <w:pStyle w:val="5"/>
        <w:numPr>
          <w:ilvl w:val="2"/>
          <w:numId w:val="5"/>
        </w:numPr>
        <w:tabs>
          <w:tab w:val="left" w:pos="1560"/>
        </w:tabs>
        <w:adjustRightInd w:val="0"/>
        <w:snapToGrid w:val="0"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建设：依托单位应根据《申报书》中明确的方案制定建设计划任务书，经专家论证后报省级文化和旅游行政部门、文化和旅游部备案。</w:t>
      </w:r>
    </w:p>
    <w:p w14:paraId="1775BD22">
      <w:pPr>
        <w:pStyle w:val="5"/>
        <w:numPr>
          <w:ilvl w:val="0"/>
          <w:numId w:val="0"/>
        </w:numPr>
        <w:tabs>
          <w:tab w:val="left" w:pos="156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技术创新中心按照建设计划任务书开展建设，建设期不超过1年。技术创新中心建设完成后提交验收申请，依据管理关系经依托单位、省级文化和旅游行政部门审核后报文化和旅游部。不能按</w:t>
      </w:r>
      <w:r>
        <w:rPr>
          <w:rFonts w:ascii="仿宋_GB2312" w:hAnsi="仿宋" w:eastAsia="仿宋_GB2312" w:cs="Times New Roman"/>
          <w:bCs/>
          <w:sz w:val="32"/>
          <w:szCs w:val="32"/>
        </w:rPr>
        <w:t>期完成建设的，应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提</w:t>
      </w:r>
      <w:r>
        <w:rPr>
          <w:rFonts w:ascii="仿宋_GB2312" w:hAnsi="仿宋" w:eastAsia="仿宋_GB2312" w:cs="Times New Roman"/>
          <w:bCs/>
          <w:sz w:val="32"/>
          <w:szCs w:val="32"/>
        </w:rPr>
        <w:t>前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2</w:t>
      </w:r>
      <w:r>
        <w:rPr>
          <w:rFonts w:ascii="仿宋_GB2312" w:hAnsi="仿宋" w:eastAsia="仿宋_GB2312" w:cs="Times New Roman"/>
          <w:bCs/>
          <w:sz w:val="32"/>
          <w:szCs w:val="32"/>
        </w:rPr>
        <w:t>个月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申请</w:t>
      </w:r>
      <w:r>
        <w:rPr>
          <w:rFonts w:ascii="仿宋_GB2312" w:hAnsi="仿宋" w:eastAsia="仿宋_GB2312" w:cs="Times New Roman"/>
          <w:bCs/>
          <w:sz w:val="32"/>
          <w:szCs w:val="32"/>
        </w:rPr>
        <w:t>延长建设期限，并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详细</w:t>
      </w:r>
      <w:r>
        <w:rPr>
          <w:rFonts w:ascii="仿宋_GB2312" w:hAnsi="仿宋" w:eastAsia="仿宋_GB2312" w:cs="Times New Roman"/>
          <w:bCs/>
          <w:sz w:val="32"/>
          <w:szCs w:val="32"/>
        </w:rPr>
        <w:t>说明原因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延期申请仅限1次，</w:t>
      </w:r>
      <w:r>
        <w:rPr>
          <w:rFonts w:ascii="仿宋_GB2312" w:hAnsi="仿宋" w:eastAsia="仿宋_GB2312" w:cs="Times New Roman"/>
          <w:bCs/>
          <w:sz w:val="32"/>
          <w:szCs w:val="32"/>
        </w:rPr>
        <w:t>期限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不超</w:t>
      </w:r>
      <w:r>
        <w:rPr>
          <w:rFonts w:ascii="仿宋_GB2312" w:hAnsi="仿宋" w:eastAsia="仿宋_GB2312" w:cs="Times New Roman"/>
          <w:bCs/>
          <w:sz w:val="32"/>
          <w:szCs w:val="32"/>
        </w:rPr>
        <w:t>1年。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逾期不提交验收、延期申请或</w:t>
      </w:r>
      <w:r>
        <w:rPr>
          <w:rFonts w:ascii="仿宋_GB2312" w:hAnsi="仿宋" w:eastAsia="仿宋_GB2312" w:cs="Times New Roman"/>
          <w:bCs/>
          <w:sz w:val="32"/>
          <w:szCs w:val="32"/>
        </w:rPr>
        <w:t>延期后仍不能完成建设任务的，终止建设。</w:t>
      </w:r>
    </w:p>
    <w:p w14:paraId="2190B7D2">
      <w:pPr>
        <w:pStyle w:val="5"/>
        <w:numPr>
          <w:ilvl w:val="2"/>
          <w:numId w:val="5"/>
        </w:numPr>
        <w:tabs>
          <w:tab w:val="left" w:pos="1560"/>
        </w:tabs>
        <w:adjustRightInd w:val="0"/>
        <w:snapToGrid w:val="0"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验收：文化和旅游部</w:t>
      </w:r>
      <w:r>
        <w:rPr>
          <w:rFonts w:ascii="仿宋_GB2312" w:hAnsi="仿宋" w:eastAsia="仿宋_GB2312" w:cs="Times New Roman"/>
          <w:bCs/>
          <w:sz w:val="32"/>
          <w:szCs w:val="32"/>
        </w:rPr>
        <w:t>组织进行验收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ascii="仿宋_GB2312" w:hAnsi="仿宋" w:eastAsia="仿宋_GB2312" w:cs="Times New Roman"/>
          <w:bCs/>
          <w:sz w:val="32"/>
          <w:szCs w:val="32"/>
        </w:rPr>
        <w:t>验收意见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分</w:t>
      </w:r>
      <w:r>
        <w:rPr>
          <w:rFonts w:ascii="仿宋_GB2312" w:hAnsi="仿宋" w:eastAsia="仿宋_GB2312" w:cs="Times New Roman"/>
          <w:bCs/>
          <w:sz w:val="32"/>
          <w:szCs w:val="32"/>
        </w:rPr>
        <w:t>为通过、整改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和</w:t>
      </w:r>
      <w:r>
        <w:rPr>
          <w:rFonts w:ascii="仿宋_GB2312" w:hAnsi="仿宋" w:eastAsia="仿宋_GB2312" w:cs="Times New Roman"/>
          <w:bCs/>
          <w:sz w:val="32"/>
          <w:szCs w:val="32"/>
        </w:rPr>
        <w:t>未通过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ascii="仿宋_GB2312" w:hAnsi="仿宋" w:eastAsia="仿宋_GB2312" w:cs="Times New Roman"/>
          <w:bCs/>
          <w:sz w:val="32"/>
          <w:szCs w:val="32"/>
        </w:rPr>
        <w:t>通过的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由文化和旅游部确定为技术创新中心；</w:t>
      </w:r>
      <w:r>
        <w:rPr>
          <w:rFonts w:ascii="仿宋_GB2312" w:hAnsi="仿宋" w:eastAsia="仿宋_GB2312" w:cs="Times New Roman"/>
          <w:bCs/>
          <w:sz w:val="32"/>
          <w:szCs w:val="32"/>
        </w:rPr>
        <w:t>整改的应当在6个月内完成整改工作，再次提出验收申请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；</w:t>
      </w:r>
      <w:r>
        <w:rPr>
          <w:rFonts w:ascii="仿宋_GB2312" w:hAnsi="仿宋" w:eastAsia="仿宋_GB2312" w:cs="Times New Roman"/>
          <w:bCs/>
          <w:sz w:val="32"/>
          <w:szCs w:val="32"/>
        </w:rPr>
        <w:t>未通过的终止建设。</w:t>
      </w:r>
    </w:p>
    <w:p w14:paraId="27115BA1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第十二条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 鼓励以企业为核心，联合高校、科研院所等单位申报，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由</w:t>
      </w:r>
      <w:r>
        <w:rPr>
          <w:rFonts w:hint="eastAsia" w:ascii="仿宋_GB2312" w:eastAsia="仿宋_GB2312"/>
          <w:bCs/>
          <w:sz w:val="32"/>
          <w:szCs w:val="32"/>
        </w:rPr>
        <w:t>依托单位作为技术创新中心的第一责任主体，并形成共同组建协议，明确各个单位的权利和责任。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鼓励地方政府、各级文化和旅游行政部门对技术创新中心建设给予政策、资金等相关支持。</w:t>
      </w:r>
      <w:r>
        <w:rPr>
          <w:rFonts w:hint="eastAsia" w:ascii="仿宋_GB2312" w:eastAsia="仿宋_GB2312"/>
          <w:bCs/>
          <w:sz w:val="32"/>
          <w:szCs w:val="32"/>
        </w:rPr>
        <w:t>原则上不支持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单一</w:t>
      </w:r>
      <w:r>
        <w:rPr>
          <w:rFonts w:hint="eastAsia" w:ascii="仿宋_GB2312" w:eastAsia="仿宋_GB2312"/>
          <w:bCs/>
          <w:sz w:val="32"/>
          <w:szCs w:val="32"/>
        </w:rPr>
        <w:t>类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型</w:t>
      </w:r>
      <w:r>
        <w:rPr>
          <w:rFonts w:hint="eastAsia" w:ascii="仿宋_GB2312" w:eastAsia="仿宋_GB2312"/>
          <w:bCs/>
          <w:sz w:val="32"/>
          <w:szCs w:val="32"/>
        </w:rPr>
        <w:t>单位联合申报。</w:t>
      </w:r>
    </w:p>
    <w:p w14:paraId="1147360D"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</w:p>
    <w:p w14:paraId="02BCE8DE"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第四章  管理与运行</w:t>
      </w:r>
    </w:p>
    <w:p w14:paraId="193267CB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第十三条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技术创新中心实行依托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单位领导下的主任负责制。技术创新中心主任应为本领域高水平的学术带头人，具有较强的组织管理和成果转化能力，原则上应为技术</w:t>
      </w:r>
      <w:r>
        <w:rPr>
          <w:rFonts w:hint="eastAsia" w:ascii="仿宋_GB2312" w:eastAsia="仿宋_GB2312"/>
          <w:color w:val="auto"/>
          <w:sz w:val="32"/>
          <w:szCs w:val="32"/>
        </w:rPr>
        <w:t>创新中心的全职工作人员。</w:t>
      </w:r>
    </w:p>
    <w:p w14:paraId="0FE422C4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第十四条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技术创新中心实行专家委员会咨询制，负责审</w:t>
      </w:r>
      <w:r>
        <w:rPr>
          <w:rFonts w:hint="eastAsia" w:ascii="仿宋_GB2312" w:eastAsia="仿宋_GB2312"/>
          <w:color w:val="auto"/>
          <w:sz w:val="32"/>
          <w:szCs w:val="32"/>
        </w:rPr>
        <w:t>议创新中心的发展目标、重点技术创新任务等，并对相关重大事项提出意见建议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。专家委员会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</w:rPr>
        <w:t>由相关领域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  <w:highlight w:val="none"/>
        </w:rPr>
        <w:t>知名专家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、产业化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</w:rPr>
        <w:t>方面的企业经营管理专家组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  <w:highlight w:val="none"/>
        </w:rPr>
        <w:t>成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</w:rPr>
        <w:t>，人数一般为7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至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</w:rPr>
        <w:t>15人，其中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依托单位人员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</w:rPr>
        <w:t>不超过三分之一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19DDAB8C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第十五条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技术创新中心人、财、物应相对独立，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鼓励设立为独立法人实体，探索董事会、理事会等管理组织模式。</w:t>
      </w:r>
    </w:p>
    <w:p w14:paraId="72F3B289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第十六条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技术创新中心实行固定与流动相结合的人员聘用制度，应通过市场化机制加强人才的选拔与聘任。</w:t>
      </w:r>
    </w:p>
    <w:p w14:paraId="28B772BB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第十七条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技术创新中心应全面落实科技成果转化奖励、股权分红激励等政策措施，建立市场化的绩效评价与收入分配激励机制。</w:t>
      </w:r>
    </w:p>
    <w:p w14:paraId="5A4CFE10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第十八条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技术创新中心应充分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发挥相关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高校、科研院所的优势学科和科研资源，协同开展关键共性技术攻关、成果转移转化和技术创新服务。</w:t>
      </w:r>
    </w:p>
    <w:p w14:paraId="1B1F571E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第十九条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应加强与产业界的联系与合作，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合作</w:t>
      </w:r>
      <w:r>
        <w:rPr>
          <w:rFonts w:hint="eastAsia" w:ascii="仿宋_GB2312" w:eastAsia="仿宋_GB2312"/>
          <w:bCs/>
          <w:sz w:val="32"/>
          <w:szCs w:val="32"/>
        </w:rPr>
        <w:t>企业</w:t>
      </w:r>
      <w:r>
        <w:rPr>
          <w:rFonts w:ascii="仿宋_GB2312" w:hAnsi="仿宋" w:eastAsia="仿宋_GB2312" w:cs="Times New Roman"/>
          <w:bCs/>
          <w:sz w:val="32"/>
          <w:szCs w:val="32"/>
        </w:rPr>
        <w:t>可从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成果</w:t>
      </w:r>
      <w:r>
        <w:rPr>
          <w:rFonts w:ascii="仿宋_GB2312" w:hAnsi="仿宋" w:eastAsia="仿宋_GB2312" w:cs="Times New Roman"/>
          <w:bCs/>
          <w:sz w:val="32"/>
          <w:szCs w:val="32"/>
        </w:rPr>
        <w:t>转化过程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起</w:t>
      </w:r>
      <w:r>
        <w:rPr>
          <w:rFonts w:ascii="仿宋_GB2312" w:hAnsi="仿宋" w:eastAsia="仿宋_GB2312" w:cs="Times New Roman"/>
          <w:bCs/>
          <w:sz w:val="32"/>
          <w:szCs w:val="32"/>
        </w:rPr>
        <w:t>始阶段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提前参与</w:t>
      </w:r>
      <w:r>
        <w:rPr>
          <w:rFonts w:ascii="仿宋_GB2312" w:hAnsi="仿宋" w:eastAsia="仿宋_GB2312" w:cs="Times New Roman"/>
          <w:bCs/>
          <w:sz w:val="32"/>
          <w:szCs w:val="32"/>
        </w:rPr>
        <w:t>。</w:t>
      </w:r>
    </w:p>
    <w:p w14:paraId="0EAC78DA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第二十条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应加强知识产权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保护和运用</w:t>
      </w:r>
      <w:r>
        <w:rPr>
          <w:rFonts w:ascii="仿宋_GB2312" w:hAnsi="仿宋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职务发明</w:t>
      </w:r>
      <w:r>
        <w:rPr>
          <w:rFonts w:ascii="仿宋_GB2312" w:hAnsi="仿宋" w:eastAsia="仿宋_GB2312" w:cs="Times New Roman"/>
          <w:bCs/>
          <w:sz w:val="32"/>
          <w:szCs w:val="32"/>
        </w:rPr>
        <w:t>成果均应标注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名称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，有关专利申请、成果转让、奖励申报及保密事项等按国家有关规定执行</w:t>
      </w:r>
      <w:r>
        <w:rPr>
          <w:rFonts w:ascii="仿宋_GB2312" w:hAnsi="仿宋" w:eastAsia="仿宋_GB2312" w:cs="Times New Roman"/>
          <w:bCs/>
          <w:sz w:val="32"/>
          <w:szCs w:val="32"/>
        </w:rPr>
        <w:t>。</w:t>
      </w:r>
    </w:p>
    <w:p w14:paraId="4FF5C97F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第二十一条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技术创新中心运行期间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变更名称</w:t>
      </w:r>
      <w:r>
        <w:rPr>
          <w:rFonts w:hint="eastAsia" w:ascii="仿宋_GB2312" w:eastAsia="仿宋_GB2312"/>
          <w:sz w:val="32"/>
          <w:szCs w:val="32"/>
        </w:rPr>
        <w:t>、注册地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、调整创新方向和定位、发生组织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人员重大调整、以技术创新中心名义举办特别重大活动的，应当由依托单位提出，经省级文化和旅游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行政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部门审核后，报文化和旅游部审定。变更名称或者调整研究方向的，应当先经专家委员会论证。</w:t>
      </w:r>
    </w:p>
    <w:p w14:paraId="37331072"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</w:p>
    <w:p w14:paraId="7D2FF526"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第五章  考核与评估</w:t>
      </w:r>
    </w:p>
    <w:p w14:paraId="10ADDE9C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第二十二条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技术创新中心应于</w:t>
      </w:r>
      <w:r>
        <w:rPr>
          <w:rFonts w:ascii="仿宋_GB2312" w:hAnsi="仿宋" w:eastAsia="仿宋_GB2312" w:cs="Times New Roman"/>
          <w:bCs/>
          <w:sz w:val="32"/>
          <w:szCs w:val="32"/>
        </w:rPr>
        <w:t>每年3月底前提交年度工作报告，由依托单位组织考核，工作报告及考核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结果</w:t>
      </w:r>
      <w:r>
        <w:rPr>
          <w:rFonts w:ascii="仿宋_GB2312" w:hAnsi="仿宋" w:eastAsia="仿宋_GB2312" w:cs="Times New Roman"/>
          <w:bCs/>
          <w:sz w:val="32"/>
          <w:szCs w:val="32"/>
        </w:rPr>
        <w:t>报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省级文化和旅游行政部门、</w:t>
      </w:r>
      <w:r>
        <w:rPr>
          <w:rFonts w:ascii="仿宋_GB2312" w:hAnsi="仿宋" w:eastAsia="仿宋_GB2312" w:cs="Times New Roman"/>
          <w:bCs/>
          <w:sz w:val="32"/>
          <w:szCs w:val="32"/>
        </w:rPr>
        <w:t>文化和旅游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部</w:t>
      </w:r>
      <w:r>
        <w:rPr>
          <w:rFonts w:ascii="仿宋_GB2312" w:hAnsi="仿宋" w:eastAsia="仿宋_GB2312" w:cs="Times New Roman"/>
          <w:bCs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年度报告主要内容包括技术创新中心本年度工作成果、存在的问题以及下一步工作考虑，并提供必要的数据和相关材料。</w:t>
      </w:r>
    </w:p>
    <w:p w14:paraId="24BF3D8B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第二十三条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文化和旅游部对技术创新中心定期开展评估，一般以3年为一个周期,评估结果分为优秀、合格、不合格。对于评估结果为优秀的技术创新中心给予通报表扬，对于评估结果为不合格的技术创新中心经申请可给予1年整改期。</w:t>
      </w:r>
    </w:p>
    <w:p w14:paraId="3BC8E8EE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第二十四条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文化和旅游部根据工作需要对技术创新中心组织开展不定期检查。</w:t>
      </w:r>
    </w:p>
    <w:p w14:paraId="596C75DE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第二十五条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 w:cs="Times New Roman"/>
          <w:bCs/>
          <w:sz w:val="32"/>
          <w:szCs w:val="32"/>
        </w:rPr>
        <w:t>出现下列情形之一的，撤销其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资格：</w:t>
      </w:r>
    </w:p>
    <w:p w14:paraId="6E5F95D3">
      <w:pPr>
        <w:pStyle w:val="5"/>
        <w:numPr>
          <w:ilvl w:val="0"/>
          <w:numId w:val="6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不接受文化和旅游部的管理；</w:t>
      </w:r>
    </w:p>
    <w:p w14:paraId="7014B8A7">
      <w:pPr>
        <w:pStyle w:val="5"/>
        <w:numPr>
          <w:ilvl w:val="0"/>
          <w:numId w:val="6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不参加评估，或评估不合格且整改后复评仍不合格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"/>
        </w:rPr>
        <w:t>;</w:t>
      </w:r>
    </w:p>
    <w:p w14:paraId="41333B5D">
      <w:pPr>
        <w:pStyle w:val="5"/>
        <w:numPr>
          <w:ilvl w:val="0"/>
          <w:numId w:val="6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依托单位要求撤销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；</w:t>
      </w:r>
    </w:p>
    <w:p w14:paraId="790CD7A9">
      <w:pPr>
        <w:pStyle w:val="5"/>
        <w:numPr>
          <w:ilvl w:val="0"/>
          <w:numId w:val="6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依托单位被依法终止；</w:t>
      </w:r>
    </w:p>
    <w:p w14:paraId="2116A1EF">
      <w:pPr>
        <w:pStyle w:val="5"/>
        <w:numPr>
          <w:ilvl w:val="0"/>
          <w:numId w:val="6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因违法违规行为造成重大不良影响；</w:t>
      </w:r>
    </w:p>
    <w:p w14:paraId="6889E227">
      <w:pPr>
        <w:pStyle w:val="5"/>
        <w:numPr>
          <w:ilvl w:val="0"/>
          <w:numId w:val="6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其他文化和旅游部认为应该撤销的情形。</w:t>
      </w:r>
    </w:p>
    <w:p w14:paraId="6947E359"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</w:p>
    <w:p w14:paraId="469F13CD"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第六章  附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黑体" w:hAnsi="黑体" w:eastAsia="黑体" w:cs="Times New Roman"/>
          <w:bCs/>
          <w:sz w:val="32"/>
          <w:szCs w:val="32"/>
        </w:rPr>
        <w:t>则</w:t>
      </w:r>
    </w:p>
    <w:p w14:paraId="4CC9CBF8"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第二十六条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 w:cs="Times New Roman"/>
          <w:bCs/>
          <w:sz w:val="32"/>
          <w:szCs w:val="32"/>
        </w:rPr>
        <w:t>文化和旅游部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</w:t>
      </w:r>
      <w:r>
        <w:rPr>
          <w:rFonts w:hint="eastAsia" w:ascii="仿宋_GB2312" w:eastAsia="仿宋_GB2312"/>
          <w:bCs/>
          <w:sz w:val="32"/>
          <w:szCs w:val="32"/>
        </w:rPr>
        <w:t>创新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中心</w:t>
      </w:r>
      <w:r>
        <w:rPr>
          <w:rFonts w:ascii="仿宋_GB2312" w:hAnsi="仿宋" w:eastAsia="仿宋_GB2312" w:cs="Times New Roman"/>
          <w:bCs/>
          <w:sz w:val="32"/>
          <w:szCs w:val="32"/>
        </w:rPr>
        <w:t>统一命名为“</w:t>
      </w:r>
      <w:r>
        <w:rPr>
          <w:rFonts w:hint="eastAsia" w:ascii="汉仪细圆B5" w:hAnsi="汉仪细圆B5" w:eastAsia="汉仪细圆B5" w:cs="汉仪细圆B5"/>
          <w:bCs/>
          <w:sz w:val="32"/>
          <w:szCs w:val="32"/>
        </w:rPr>
        <w:t>×××</w:t>
      </w:r>
      <w:r>
        <w:rPr>
          <w:rFonts w:ascii="仿宋_GB2312" w:hAnsi="仿宋" w:eastAsia="仿宋_GB2312" w:cs="Times New Roman"/>
          <w:bCs/>
          <w:sz w:val="32"/>
          <w:szCs w:val="32"/>
        </w:rPr>
        <w:t>文化和旅游部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”，英文名称为“</w:t>
      </w:r>
      <w:bookmarkStart w:id="5" w:name="_Hlk51183585"/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Technology Innovation Center of </w:t>
      </w:r>
      <w:r>
        <w:rPr>
          <w:rFonts w:hint="eastAsia" w:ascii="汉仪细圆B5" w:hAnsi="汉仪细圆B5" w:eastAsia="汉仪细圆B5" w:cs="汉仪细圆B5"/>
          <w:bCs/>
          <w:sz w:val="32"/>
          <w:szCs w:val="32"/>
        </w:rPr>
        <w:t>×××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"/>
        </w:rPr>
        <w:t>,</w:t>
      </w:r>
      <w:r>
        <w:rPr>
          <w:rFonts w:ascii="仿宋_GB2312" w:hAnsi="Times New Roman" w:eastAsia="仿宋_GB2312" w:cs="Times New Roman"/>
          <w:bCs/>
          <w:sz w:val="32"/>
          <w:szCs w:val="32"/>
        </w:rPr>
        <w:t>Ministry of Culture and Tourism</w:t>
      </w:r>
      <w:bookmarkEnd w:id="5"/>
      <w:r>
        <w:rPr>
          <w:rFonts w:ascii="仿宋_GB2312" w:hAnsi="仿宋" w:eastAsia="仿宋_GB2312" w:cs="Times New Roman"/>
          <w:bCs/>
          <w:sz w:val="32"/>
          <w:szCs w:val="32"/>
        </w:rPr>
        <w:t>”。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其中，</w:t>
      </w:r>
      <w:r>
        <w:rPr>
          <w:rFonts w:hint="eastAsia" w:ascii="汉仪细圆B5" w:hAnsi="汉仪细圆B5" w:eastAsia="汉仪细圆B5" w:cs="汉仪细圆B5"/>
          <w:bCs/>
          <w:sz w:val="32"/>
          <w:szCs w:val="32"/>
        </w:rPr>
        <w:t>×××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为技术创新中心研究领域。</w:t>
      </w:r>
    </w:p>
    <w:p w14:paraId="7691DC61"/>
    <w:p w14:paraId="5F65A42D"/>
    <w:sectPr>
      <w:footerReference r:id="rId3" w:type="default"/>
      <w:pgSz w:w="11906" w:h="16838"/>
      <w:pgMar w:top="1440" w:right="1588" w:bottom="1440" w:left="1588" w:header="851" w:footer="66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A4216">
    <w:pPr>
      <w:pStyle w:val="2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 w14:paraId="6822BFF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E8051"/>
    <w:multiLevelType w:val="multilevel"/>
    <w:tmpl w:val="DDDE8051"/>
    <w:lvl w:ilvl="0" w:tentative="0">
      <w:start w:val="1"/>
      <w:numFmt w:val="chineseCountingThousand"/>
      <w:lvlText w:val="（%1）"/>
      <w:lvlJc w:val="left"/>
      <w:pPr>
        <w:ind w:left="1271" w:hanging="420"/>
      </w:pPr>
      <w:rPr>
        <w:rFonts w:hint="eastAsia" w:eastAsia="仿宋_GB2312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0B26A62"/>
    <w:multiLevelType w:val="multilevel"/>
    <w:tmpl w:val="30B26A62"/>
    <w:lvl w:ilvl="0" w:tentative="0">
      <w:start w:val="1"/>
      <w:numFmt w:val="chineseCountingThousand"/>
      <w:lvlText w:val="（%1）"/>
      <w:lvlJc w:val="left"/>
      <w:pPr>
        <w:ind w:left="1271" w:hanging="420"/>
      </w:pPr>
      <w:rPr>
        <w:rFonts w:hint="eastAsia" w:eastAsia="仿宋_GB2312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8824D99"/>
    <w:multiLevelType w:val="multilevel"/>
    <w:tmpl w:val="58824D99"/>
    <w:lvl w:ilvl="0" w:tentative="0">
      <w:start w:val="1"/>
      <w:numFmt w:val="chineseCountingThousand"/>
      <w:lvlText w:val="第%1条  "/>
      <w:lvlJc w:val="left"/>
      <w:pPr>
        <w:ind w:left="1020" w:hanging="420"/>
      </w:pPr>
      <w:rPr>
        <w:rFonts w:hint="eastAsia" w:eastAsia="仿宋_GB2312"/>
        <w:b w:val="0"/>
        <w:i w:val="0"/>
        <w:sz w:val="32"/>
      </w:rPr>
    </w:lvl>
    <w:lvl w:ilvl="1" w:tentative="0">
      <w:start w:val="7"/>
      <w:numFmt w:val="chineseCountingThousand"/>
      <w:lvlText w:val="第%2条"/>
      <w:lvlJc w:val="left"/>
      <w:pPr>
        <w:ind w:left="1271" w:hanging="420"/>
      </w:pPr>
      <w:rPr>
        <w:rFonts w:hint="eastAsia" w:eastAsia="仿宋_GB2312"/>
        <w:b/>
        <w:i w:val="0"/>
        <w:sz w:val="32"/>
        <w:lang w:val="en-US"/>
      </w:rPr>
    </w:lvl>
    <w:lvl w:ilvl="2" w:tentative="0">
      <w:start w:val="1"/>
      <w:numFmt w:val="chineseCountingThousand"/>
      <w:lvlText w:val="（%3）"/>
      <w:lvlJc w:val="left"/>
      <w:pPr>
        <w:ind w:left="1789" w:hanging="1080"/>
      </w:pPr>
      <w:rPr>
        <w:rFonts w:hint="eastAsia" w:eastAsia="仿宋_GB2312"/>
        <w:b w:val="0"/>
        <w:i w:val="0"/>
        <w:sz w:val="32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FE9D2A"/>
    <w:multiLevelType w:val="multilevel"/>
    <w:tmpl w:val="67FE9D2A"/>
    <w:lvl w:ilvl="0" w:tentative="0">
      <w:start w:val="1"/>
      <w:numFmt w:val="chineseCountingThousand"/>
      <w:lvlText w:val="（%1）"/>
      <w:lvlJc w:val="left"/>
      <w:pPr>
        <w:ind w:left="1271" w:hanging="420"/>
      </w:pPr>
      <w:rPr>
        <w:rFonts w:hint="eastAsia" w:eastAsia="仿宋_GB2312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06530F6"/>
    <w:multiLevelType w:val="multilevel"/>
    <w:tmpl w:val="706530F6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88A17DF"/>
    <w:multiLevelType w:val="multilevel"/>
    <w:tmpl w:val="788A17DF"/>
    <w:lvl w:ilvl="0" w:tentative="0">
      <w:start w:val="1"/>
      <w:numFmt w:val="chineseCountingThousand"/>
      <w:lvlText w:val="（%1）"/>
      <w:lvlJc w:val="left"/>
      <w:pPr>
        <w:ind w:left="1494" w:hanging="360"/>
      </w:pPr>
      <w:rPr>
        <w:rFonts w:hint="eastAsia" w:eastAsia="仿宋_GB2312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MTM1NWZhYWU3N2YxMDg3MzkyOGJhMTJlM2ZlYzQifQ=="/>
  </w:docVars>
  <w:rsids>
    <w:rsidRoot w:val="00000000"/>
    <w:rsid w:val="1FDEADCE"/>
    <w:rsid w:val="28DC56B1"/>
    <w:rsid w:val="3EAB0813"/>
    <w:rsid w:val="BBB80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3752</Words>
  <Characters>3800</Characters>
  <Lines>0</Lines>
  <Paragraphs>0</Paragraphs>
  <TotalTime>0</TotalTime>
  <ScaleCrop>false</ScaleCrop>
  <LinksUpToDate>false</LinksUpToDate>
  <CharactersWithSpaces>3876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堂堂</cp:lastModifiedBy>
  <dcterms:modified xsi:type="dcterms:W3CDTF">2024-07-22T10:43:36Z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FBFF155EB5154BCDBF09B176D57F4BC6_12</vt:lpwstr>
  </property>
</Properties>
</file>